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CF" w:rsidRPr="007B650B" w:rsidRDefault="00745358" w:rsidP="007B650B">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Pr>
          <w:rFonts w:ascii="Arial" w:hAnsi="Arial" w:cs="Arial"/>
          <w:noProof/>
          <w:sz w:val="22"/>
          <w:szCs w:val="22"/>
        </w:rPr>
        <w:t>T</w:t>
      </w:r>
      <w:r w:rsidR="00510033">
        <w:rPr>
          <w:rFonts w:ascii="Arial" w:hAnsi="Arial" w:cs="Arial"/>
          <w:noProof/>
          <w:sz w:val="22"/>
          <w:szCs w:val="22"/>
        </w:rPr>
        <w:t>he</w:t>
      </w:r>
      <w:r w:rsidR="002145CF" w:rsidRPr="007B650B">
        <w:rPr>
          <w:rFonts w:ascii="Arial" w:hAnsi="Arial" w:cs="Arial"/>
          <w:noProof/>
          <w:sz w:val="22"/>
          <w:szCs w:val="22"/>
        </w:rPr>
        <w:t xml:space="preserve"> Security of Payment discuss</w:t>
      </w:r>
      <w:r w:rsidR="002145CF">
        <w:rPr>
          <w:rFonts w:ascii="Arial" w:hAnsi="Arial" w:cs="Arial"/>
          <w:noProof/>
          <w:sz w:val="22"/>
          <w:szCs w:val="22"/>
        </w:rPr>
        <w:t>ion paper</w:t>
      </w:r>
      <w:r w:rsidR="00510033">
        <w:rPr>
          <w:rFonts w:ascii="Arial" w:hAnsi="Arial" w:cs="Arial"/>
          <w:noProof/>
          <w:sz w:val="22"/>
          <w:szCs w:val="22"/>
        </w:rPr>
        <w:t xml:space="preserve"> was released</w:t>
      </w:r>
      <w:r w:rsidR="002145CF">
        <w:rPr>
          <w:rFonts w:ascii="Arial" w:hAnsi="Arial" w:cs="Arial"/>
          <w:noProof/>
          <w:sz w:val="22"/>
          <w:szCs w:val="22"/>
        </w:rPr>
        <w:t xml:space="preserve"> </w:t>
      </w:r>
      <w:r>
        <w:rPr>
          <w:rFonts w:ascii="Arial" w:hAnsi="Arial" w:cs="Arial"/>
          <w:noProof/>
          <w:sz w:val="22"/>
          <w:szCs w:val="22"/>
        </w:rPr>
        <w:t>in</w:t>
      </w:r>
      <w:r w:rsidR="002145CF" w:rsidRPr="007B650B">
        <w:rPr>
          <w:rFonts w:ascii="Arial" w:hAnsi="Arial" w:cs="Arial"/>
          <w:noProof/>
          <w:sz w:val="22"/>
          <w:szCs w:val="22"/>
        </w:rPr>
        <w:t xml:space="preserve"> December 2015, followed by extensive consultation. </w:t>
      </w:r>
      <w:r w:rsidR="00510033">
        <w:rPr>
          <w:rFonts w:ascii="Arial" w:hAnsi="Arial" w:cs="Arial"/>
          <w:noProof/>
          <w:sz w:val="22"/>
          <w:szCs w:val="22"/>
        </w:rPr>
        <w:t xml:space="preserve">The </w:t>
      </w:r>
      <w:r w:rsidR="00510033" w:rsidRPr="00510033">
        <w:rPr>
          <w:rFonts w:ascii="Arial" w:hAnsi="Arial" w:cs="Arial"/>
          <w:i/>
          <w:noProof/>
          <w:sz w:val="22"/>
          <w:szCs w:val="22"/>
        </w:rPr>
        <w:t>Queensland Building Plan: A discussion paper for industry and consumers</w:t>
      </w:r>
      <w:r w:rsidR="00510033">
        <w:rPr>
          <w:rFonts w:ascii="Arial" w:hAnsi="Arial" w:cs="Arial"/>
          <w:noProof/>
          <w:sz w:val="22"/>
          <w:szCs w:val="22"/>
        </w:rPr>
        <w:t>,</w:t>
      </w:r>
      <w:r w:rsidR="00510033">
        <w:rPr>
          <w:rFonts w:ascii="Arial" w:hAnsi="Arial" w:cs="Arial"/>
          <w:i/>
          <w:noProof/>
          <w:sz w:val="22"/>
          <w:szCs w:val="22"/>
        </w:rPr>
        <w:t xml:space="preserve"> </w:t>
      </w:r>
      <w:r w:rsidR="00510033">
        <w:rPr>
          <w:rFonts w:ascii="Arial" w:hAnsi="Arial" w:cs="Arial"/>
          <w:noProof/>
          <w:sz w:val="22"/>
          <w:szCs w:val="22"/>
        </w:rPr>
        <w:t>released in November 2016, proposed reforms to key areas including security of payment.</w:t>
      </w:r>
    </w:p>
    <w:p w:rsidR="00364000" w:rsidRPr="00364000" w:rsidRDefault="00364000" w:rsidP="007B650B">
      <w:pPr>
        <w:numPr>
          <w:ilvl w:val="0"/>
          <w:numId w:val="1"/>
        </w:numPr>
        <w:tabs>
          <w:tab w:val="clear" w:pos="720"/>
          <w:tab w:val="num" w:pos="360"/>
        </w:tabs>
        <w:spacing w:before="240"/>
        <w:ind w:left="360"/>
        <w:jc w:val="both"/>
        <w:rPr>
          <w:rFonts w:ascii="Arial" w:hAnsi="Arial" w:cs="Arial"/>
          <w:sz w:val="22"/>
          <w:szCs w:val="22"/>
        </w:rPr>
      </w:pPr>
      <w:r w:rsidRPr="007B650B">
        <w:rPr>
          <w:rFonts w:ascii="Arial" w:hAnsi="Arial" w:cs="Arial"/>
          <w:sz w:val="22"/>
          <w:szCs w:val="22"/>
        </w:rPr>
        <w:t>Consultation outcomes reinforced previous analysis of systemic problems within the building and construction industry</w:t>
      </w:r>
      <w:r w:rsidR="002E16AE">
        <w:rPr>
          <w:rFonts w:ascii="Arial" w:hAnsi="Arial" w:cs="Arial"/>
          <w:sz w:val="22"/>
          <w:szCs w:val="22"/>
        </w:rPr>
        <w:t>.</w:t>
      </w:r>
    </w:p>
    <w:p w:rsidR="00364000" w:rsidRDefault="00364000" w:rsidP="007B650B">
      <w:pPr>
        <w:numPr>
          <w:ilvl w:val="0"/>
          <w:numId w:val="1"/>
        </w:numPr>
        <w:tabs>
          <w:tab w:val="clear" w:pos="720"/>
          <w:tab w:val="num" w:pos="360"/>
        </w:tabs>
        <w:spacing w:before="240"/>
        <w:ind w:left="360"/>
        <w:jc w:val="both"/>
        <w:rPr>
          <w:rFonts w:ascii="Arial" w:hAnsi="Arial" w:cs="Arial"/>
          <w:sz w:val="22"/>
          <w:szCs w:val="22"/>
        </w:rPr>
      </w:pPr>
      <w:r w:rsidRPr="007B650B">
        <w:rPr>
          <w:rFonts w:ascii="Arial" w:hAnsi="Arial" w:cs="Arial"/>
          <w:sz w:val="22"/>
          <w:szCs w:val="22"/>
        </w:rPr>
        <w:t xml:space="preserve">The results of consultation were supported by the Senate Economics References Committee’s 2015 inquiry into insolvency in the Australian construction industry, which found that security of payment in the building and construction industry is a problem across all jurisdictions. </w:t>
      </w:r>
    </w:p>
    <w:p w:rsidR="00D24CDB" w:rsidRDefault="00364000" w:rsidP="007B650B">
      <w:pPr>
        <w:numPr>
          <w:ilvl w:val="0"/>
          <w:numId w:val="1"/>
        </w:numPr>
        <w:tabs>
          <w:tab w:val="clear" w:pos="720"/>
          <w:tab w:val="num" w:pos="360"/>
        </w:tabs>
        <w:spacing w:before="240"/>
        <w:ind w:left="360"/>
        <w:jc w:val="both"/>
        <w:rPr>
          <w:rFonts w:ascii="Arial" w:hAnsi="Arial" w:cs="Arial"/>
          <w:sz w:val="22"/>
          <w:szCs w:val="22"/>
        </w:rPr>
      </w:pPr>
      <w:r w:rsidRPr="00926107">
        <w:rPr>
          <w:rFonts w:ascii="Arial" w:hAnsi="Arial" w:cs="Arial"/>
          <w:sz w:val="22"/>
          <w:szCs w:val="22"/>
        </w:rPr>
        <w:t>The Building Industry Fairness (Security of Payment) Bill 2017 delivers key objectives to</w:t>
      </w:r>
      <w:r>
        <w:rPr>
          <w:rFonts w:ascii="Arial" w:hAnsi="Arial" w:cs="Arial"/>
          <w:sz w:val="22"/>
          <w:szCs w:val="22"/>
        </w:rPr>
        <w:t xml:space="preserve"> address these problems by</w:t>
      </w:r>
      <w:r w:rsidR="00D24CDB">
        <w:rPr>
          <w:rFonts w:ascii="Arial" w:hAnsi="Arial" w:cs="Arial"/>
          <w:sz w:val="22"/>
          <w:szCs w:val="22"/>
        </w:rPr>
        <w:t>:</w:t>
      </w:r>
    </w:p>
    <w:p w:rsidR="00D24CDB" w:rsidRDefault="00364000" w:rsidP="00D24CDB">
      <w:pPr>
        <w:pStyle w:val="ListParagraph"/>
        <w:numPr>
          <w:ilvl w:val="0"/>
          <w:numId w:val="4"/>
        </w:numPr>
        <w:spacing w:before="120"/>
        <w:ind w:left="851" w:hanging="284"/>
        <w:contextualSpacing w:val="0"/>
        <w:jc w:val="both"/>
        <w:rPr>
          <w:rFonts w:ascii="Arial" w:hAnsi="Arial" w:cs="Arial"/>
          <w:sz w:val="22"/>
          <w:szCs w:val="22"/>
        </w:rPr>
      </w:pPr>
      <w:r w:rsidRPr="00D24CDB">
        <w:rPr>
          <w:rFonts w:ascii="Arial" w:hAnsi="Arial" w:cs="Arial"/>
          <w:sz w:val="22"/>
          <w:szCs w:val="22"/>
        </w:rPr>
        <w:t xml:space="preserve">improving security of payment for subcontractors in the building and construction industry; </w:t>
      </w:r>
    </w:p>
    <w:p w:rsidR="00D24CDB" w:rsidRDefault="00364000" w:rsidP="00D24CDB">
      <w:pPr>
        <w:pStyle w:val="ListParagraph"/>
        <w:numPr>
          <w:ilvl w:val="0"/>
          <w:numId w:val="4"/>
        </w:numPr>
        <w:spacing w:before="120"/>
        <w:ind w:left="851" w:hanging="284"/>
        <w:contextualSpacing w:val="0"/>
        <w:jc w:val="both"/>
        <w:rPr>
          <w:rFonts w:ascii="Arial" w:hAnsi="Arial" w:cs="Arial"/>
          <w:sz w:val="22"/>
          <w:szCs w:val="22"/>
        </w:rPr>
      </w:pPr>
      <w:r w:rsidRPr="00D24CDB">
        <w:rPr>
          <w:rFonts w:ascii="Arial" w:hAnsi="Arial" w:cs="Arial"/>
          <w:sz w:val="22"/>
          <w:szCs w:val="22"/>
        </w:rPr>
        <w:t xml:space="preserve">improving adjudication legislation and processes; </w:t>
      </w:r>
    </w:p>
    <w:p w:rsidR="00D24CDB" w:rsidRDefault="00364000" w:rsidP="00D24CDB">
      <w:pPr>
        <w:pStyle w:val="ListParagraph"/>
        <w:numPr>
          <w:ilvl w:val="0"/>
          <w:numId w:val="4"/>
        </w:numPr>
        <w:spacing w:before="120"/>
        <w:ind w:left="851" w:hanging="284"/>
        <w:contextualSpacing w:val="0"/>
        <w:jc w:val="both"/>
        <w:rPr>
          <w:rFonts w:ascii="Arial" w:hAnsi="Arial" w:cs="Arial"/>
          <w:sz w:val="22"/>
          <w:szCs w:val="22"/>
        </w:rPr>
      </w:pPr>
      <w:r w:rsidRPr="00D24CDB">
        <w:rPr>
          <w:rFonts w:ascii="Arial" w:hAnsi="Arial" w:cs="Arial"/>
          <w:sz w:val="22"/>
          <w:szCs w:val="22"/>
        </w:rPr>
        <w:t xml:space="preserve">modernising and simplifying the provisions of the </w:t>
      </w:r>
      <w:r w:rsidRPr="00D24CDB">
        <w:rPr>
          <w:rFonts w:ascii="Arial" w:hAnsi="Arial" w:cs="Arial"/>
          <w:i/>
          <w:sz w:val="22"/>
          <w:szCs w:val="22"/>
        </w:rPr>
        <w:t>Subcontractors’ Charges Act 1974</w:t>
      </w:r>
      <w:r w:rsidRPr="00D24CDB">
        <w:rPr>
          <w:rFonts w:ascii="Arial" w:hAnsi="Arial" w:cs="Arial"/>
          <w:sz w:val="22"/>
          <w:szCs w:val="22"/>
        </w:rPr>
        <w:t xml:space="preserve">; </w:t>
      </w:r>
    </w:p>
    <w:p w:rsidR="00D24CDB" w:rsidRDefault="00364000" w:rsidP="00D24CDB">
      <w:pPr>
        <w:pStyle w:val="ListParagraph"/>
        <w:numPr>
          <w:ilvl w:val="0"/>
          <w:numId w:val="4"/>
        </w:numPr>
        <w:spacing w:before="120"/>
        <w:ind w:left="851" w:hanging="284"/>
        <w:contextualSpacing w:val="0"/>
        <w:jc w:val="both"/>
        <w:rPr>
          <w:rFonts w:ascii="Arial" w:hAnsi="Arial" w:cs="Arial"/>
          <w:sz w:val="22"/>
          <w:szCs w:val="22"/>
        </w:rPr>
      </w:pPr>
      <w:r w:rsidRPr="00D24CDB">
        <w:rPr>
          <w:rFonts w:ascii="Arial" w:hAnsi="Arial" w:cs="Arial"/>
          <w:sz w:val="22"/>
          <w:szCs w:val="22"/>
        </w:rPr>
        <w:t xml:space="preserve">increasing ease of access to security of payment legislation; and </w:t>
      </w:r>
    </w:p>
    <w:p w:rsidR="00364000" w:rsidRPr="00D24CDB" w:rsidRDefault="00364000" w:rsidP="00D24CDB">
      <w:pPr>
        <w:pStyle w:val="ListParagraph"/>
        <w:numPr>
          <w:ilvl w:val="0"/>
          <w:numId w:val="4"/>
        </w:numPr>
        <w:spacing w:before="120"/>
        <w:ind w:left="851" w:hanging="284"/>
        <w:contextualSpacing w:val="0"/>
        <w:jc w:val="both"/>
        <w:rPr>
          <w:rFonts w:ascii="Arial" w:hAnsi="Arial" w:cs="Arial"/>
          <w:sz w:val="22"/>
          <w:szCs w:val="22"/>
        </w:rPr>
      </w:pPr>
      <w:r w:rsidRPr="00D24CDB">
        <w:rPr>
          <w:rFonts w:ascii="Arial" w:hAnsi="Arial" w:cs="Arial"/>
          <w:sz w:val="22"/>
          <w:szCs w:val="22"/>
        </w:rPr>
        <w:t>improving legislation to support and expand on the operation and functions of the Queensland Building and Construction Commission.</w:t>
      </w:r>
    </w:p>
    <w:p w:rsidR="00BA4B07" w:rsidRPr="007B650B"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C43F07">
        <w:rPr>
          <w:rFonts w:ascii="Arial" w:hAnsi="Arial" w:cs="Arial"/>
          <w:sz w:val="22"/>
          <w:szCs w:val="22"/>
        </w:rPr>
        <w:t xml:space="preserve"> </w:t>
      </w:r>
      <w:r w:rsidR="00BA4B07">
        <w:rPr>
          <w:rFonts w:ascii="Arial" w:hAnsi="Arial" w:cs="Arial"/>
          <w:sz w:val="22"/>
          <w:szCs w:val="22"/>
        </w:rPr>
        <w:t xml:space="preserve">introduction of the </w:t>
      </w:r>
      <w:r w:rsidR="00745358">
        <w:rPr>
          <w:rFonts w:ascii="Arial" w:hAnsi="Arial" w:cs="Arial"/>
          <w:sz w:val="22"/>
          <w:szCs w:val="22"/>
        </w:rPr>
        <w:t>Building Industry Fairness (Security of Payment) Bill 2017</w:t>
      </w:r>
      <w:r w:rsidR="00D24CDB">
        <w:rPr>
          <w:rFonts w:ascii="Arial" w:hAnsi="Arial" w:cs="Arial"/>
          <w:sz w:val="22"/>
          <w:szCs w:val="22"/>
        </w:rPr>
        <w:t xml:space="preserve"> </w:t>
      </w:r>
      <w:r w:rsidR="00BA4B07">
        <w:rPr>
          <w:rFonts w:ascii="Arial" w:hAnsi="Arial" w:cs="Arial"/>
          <w:sz w:val="22"/>
          <w:szCs w:val="22"/>
        </w:rPr>
        <w:t xml:space="preserve">into </w:t>
      </w:r>
      <w:r w:rsidR="00D24CDB">
        <w:rPr>
          <w:rFonts w:ascii="Arial" w:hAnsi="Arial" w:cs="Arial"/>
          <w:sz w:val="22"/>
          <w:szCs w:val="22"/>
        </w:rPr>
        <w:t xml:space="preserve">the </w:t>
      </w:r>
      <w:r w:rsidR="00BA4B07">
        <w:rPr>
          <w:rFonts w:ascii="Arial" w:hAnsi="Arial" w:cs="Arial"/>
          <w:sz w:val="22"/>
          <w:szCs w:val="22"/>
        </w:rPr>
        <w:t>Legislative Assembly.</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6589B" w:rsidRPr="00ED75C8" w:rsidRDefault="00014094" w:rsidP="00D6589B">
      <w:pPr>
        <w:numPr>
          <w:ilvl w:val="0"/>
          <w:numId w:val="2"/>
        </w:numPr>
        <w:spacing w:before="120"/>
        <w:ind w:left="811"/>
        <w:jc w:val="both"/>
        <w:rPr>
          <w:rFonts w:ascii="Arial" w:hAnsi="Arial" w:cs="Arial"/>
          <w:sz w:val="22"/>
          <w:szCs w:val="22"/>
        </w:rPr>
      </w:pPr>
      <w:hyperlink r:id="rId10" w:history="1">
        <w:r w:rsidR="00BA4B07" w:rsidRPr="004D5B87">
          <w:rPr>
            <w:rStyle w:val="Hyperlink"/>
            <w:rFonts w:ascii="Arial" w:hAnsi="Arial" w:cs="Arial"/>
            <w:sz w:val="22"/>
            <w:szCs w:val="22"/>
          </w:rPr>
          <w:t>Building Industry Fairness (Security of Payment) Bill 2017</w:t>
        </w:r>
      </w:hyperlink>
    </w:p>
    <w:p w:rsidR="00BA4B07" w:rsidRDefault="00014094" w:rsidP="00BA4B07">
      <w:pPr>
        <w:numPr>
          <w:ilvl w:val="0"/>
          <w:numId w:val="2"/>
        </w:numPr>
        <w:spacing w:before="120"/>
        <w:ind w:left="811"/>
        <w:jc w:val="both"/>
        <w:rPr>
          <w:rFonts w:ascii="Arial" w:hAnsi="Arial" w:cs="Arial"/>
          <w:sz w:val="22"/>
          <w:szCs w:val="22"/>
        </w:rPr>
      </w:pPr>
      <w:hyperlink r:id="rId11" w:history="1">
        <w:r w:rsidR="00C052AD" w:rsidRPr="004D5B87">
          <w:rPr>
            <w:rStyle w:val="Hyperlink"/>
            <w:rFonts w:ascii="Arial" w:hAnsi="Arial" w:cs="Arial"/>
            <w:sz w:val="22"/>
            <w:szCs w:val="22"/>
          </w:rPr>
          <w:t>Explanatory Notes</w:t>
        </w:r>
      </w:hyperlink>
    </w:p>
    <w:p w:rsidR="00BA4B07" w:rsidRDefault="00BA4B07" w:rsidP="007B650B">
      <w:pPr>
        <w:spacing w:before="120"/>
        <w:ind w:left="357"/>
        <w:jc w:val="both"/>
        <w:rPr>
          <w:rFonts w:ascii="Arial" w:hAnsi="Arial" w:cs="Arial"/>
          <w:sz w:val="22"/>
          <w:szCs w:val="22"/>
        </w:rPr>
      </w:pPr>
    </w:p>
    <w:sectPr w:rsidR="00BA4B07" w:rsidSect="00ED75C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5C" w:rsidRDefault="00C7515C" w:rsidP="00D6589B">
      <w:r>
        <w:separator/>
      </w:r>
    </w:p>
  </w:endnote>
  <w:endnote w:type="continuationSeparator" w:id="0">
    <w:p w:rsidR="00C7515C" w:rsidRDefault="00C7515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D9" w:rsidRDefault="00BC0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D9" w:rsidRDefault="00BC0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D9" w:rsidRDefault="00BC0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5C" w:rsidRDefault="00C7515C" w:rsidP="00D6589B">
      <w:r>
        <w:separator/>
      </w:r>
    </w:p>
  </w:footnote>
  <w:footnote w:type="continuationSeparator" w:id="0">
    <w:p w:rsidR="00C7515C" w:rsidRDefault="00C7515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D9" w:rsidRDefault="00BC0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C0AD9">
      <w:rPr>
        <w:rFonts w:ascii="Arial" w:hAnsi="Arial" w:cs="Arial"/>
        <w:b/>
        <w:color w:val="auto"/>
        <w:sz w:val="22"/>
        <w:szCs w:val="22"/>
        <w:lang w:eastAsia="en-US"/>
      </w:rPr>
      <w:t>August 2017</w:t>
    </w:r>
  </w:p>
  <w:p w:rsidR="00CB1501" w:rsidRDefault="00BC0AD9" w:rsidP="00BC0AD9">
    <w:pPr>
      <w:pStyle w:val="Header"/>
      <w:spacing w:before="120"/>
      <w:rPr>
        <w:rFonts w:ascii="Arial" w:hAnsi="Arial" w:cs="Arial"/>
        <w:b/>
        <w:sz w:val="22"/>
        <w:szCs w:val="22"/>
        <w:u w:val="single"/>
      </w:rPr>
    </w:pPr>
    <w:r>
      <w:rPr>
        <w:rFonts w:ascii="Arial" w:hAnsi="Arial" w:cs="Arial"/>
        <w:b/>
        <w:sz w:val="22"/>
        <w:szCs w:val="22"/>
        <w:u w:val="single"/>
      </w:rPr>
      <w:t>Building Industry Fairness (Security of Payment) Bill 2017</w:t>
    </w:r>
  </w:p>
  <w:p w:rsidR="00CB1501" w:rsidRDefault="00110072"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Housing and Public </w:t>
    </w:r>
    <w:r w:rsidR="00BC0AD9">
      <w:rPr>
        <w:rFonts w:ascii="Arial" w:hAnsi="Arial" w:cs="Arial"/>
        <w:b/>
        <w:sz w:val="22"/>
        <w:szCs w:val="22"/>
        <w:u w:val="single"/>
      </w:rPr>
      <w:t>W</w:t>
    </w:r>
    <w:r>
      <w:rPr>
        <w:rFonts w:ascii="Arial" w:hAnsi="Arial" w:cs="Arial"/>
        <w:b/>
        <w:sz w:val="22"/>
        <w:szCs w:val="22"/>
        <w:u w:val="single"/>
      </w:rPr>
      <w:t>orks</w:t>
    </w:r>
    <w:r w:rsidR="00BC0AD9">
      <w:rPr>
        <w:rFonts w:ascii="Arial" w:hAnsi="Arial" w:cs="Arial"/>
        <w:b/>
        <w:sz w:val="22"/>
        <w:szCs w:val="22"/>
        <w:u w:val="single"/>
      </w:rPr>
      <w:t xml:space="preserve"> and Minister for Sport</w:t>
    </w:r>
  </w:p>
  <w:p w:rsidR="00CB1501" w:rsidRDefault="00CB1501" w:rsidP="00D658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D9" w:rsidRDefault="00BC0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B99"/>
    <w:multiLevelType w:val="hybridMultilevel"/>
    <w:tmpl w:val="80DA98D8"/>
    <w:lvl w:ilvl="0" w:tplc="8C40EDB4">
      <w:start w:val="1"/>
      <w:numFmt w:val="decimal"/>
      <w:lvlText w:val="%1."/>
      <w:lvlJc w:val="left"/>
      <w:pPr>
        <w:ind w:left="360" w:hanging="360"/>
      </w:pPr>
      <w:rPr>
        <w:rFonts w:hint="default"/>
        <w:i w:val="0"/>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 w15:restartNumberingAfterBreak="0">
    <w:nsid w:val="44EA7A8C"/>
    <w:multiLevelType w:val="hybridMultilevel"/>
    <w:tmpl w:val="39B8919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BE"/>
    <w:rsid w:val="00014094"/>
    <w:rsid w:val="00080F8F"/>
    <w:rsid w:val="00097186"/>
    <w:rsid w:val="0010384C"/>
    <w:rsid w:val="001061C1"/>
    <w:rsid w:val="00110072"/>
    <w:rsid w:val="001276DA"/>
    <w:rsid w:val="00152095"/>
    <w:rsid w:val="00167994"/>
    <w:rsid w:val="00174117"/>
    <w:rsid w:val="002145CF"/>
    <w:rsid w:val="00246D48"/>
    <w:rsid w:val="002D3A72"/>
    <w:rsid w:val="002E16AE"/>
    <w:rsid w:val="0034553F"/>
    <w:rsid w:val="00364000"/>
    <w:rsid w:val="003A3BDD"/>
    <w:rsid w:val="0043543B"/>
    <w:rsid w:val="00474814"/>
    <w:rsid w:val="004C7417"/>
    <w:rsid w:val="004D5B87"/>
    <w:rsid w:val="00501C66"/>
    <w:rsid w:val="00510033"/>
    <w:rsid w:val="00545AE8"/>
    <w:rsid w:val="00550873"/>
    <w:rsid w:val="005C1027"/>
    <w:rsid w:val="00642F13"/>
    <w:rsid w:val="006B0562"/>
    <w:rsid w:val="006C00F8"/>
    <w:rsid w:val="006E7750"/>
    <w:rsid w:val="007265D0"/>
    <w:rsid w:val="00732E22"/>
    <w:rsid w:val="00741C20"/>
    <w:rsid w:val="00745358"/>
    <w:rsid w:val="007B650B"/>
    <w:rsid w:val="007F44F4"/>
    <w:rsid w:val="008847A5"/>
    <w:rsid w:val="008C0018"/>
    <w:rsid w:val="008F3E5B"/>
    <w:rsid w:val="00904077"/>
    <w:rsid w:val="00920CBE"/>
    <w:rsid w:val="00937A4A"/>
    <w:rsid w:val="009E206A"/>
    <w:rsid w:val="00A212CA"/>
    <w:rsid w:val="00AA7EA1"/>
    <w:rsid w:val="00B36F9C"/>
    <w:rsid w:val="00B95A06"/>
    <w:rsid w:val="00BA4B07"/>
    <w:rsid w:val="00BC0AD9"/>
    <w:rsid w:val="00C052AD"/>
    <w:rsid w:val="00C17A07"/>
    <w:rsid w:val="00C22E2F"/>
    <w:rsid w:val="00C43F07"/>
    <w:rsid w:val="00C7515C"/>
    <w:rsid w:val="00C75E67"/>
    <w:rsid w:val="00CB1501"/>
    <w:rsid w:val="00CD7A50"/>
    <w:rsid w:val="00CE5B44"/>
    <w:rsid w:val="00CF0D8A"/>
    <w:rsid w:val="00D24CDB"/>
    <w:rsid w:val="00D6589B"/>
    <w:rsid w:val="00D7566A"/>
    <w:rsid w:val="00D75FE7"/>
    <w:rsid w:val="00DA1A31"/>
    <w:rsid w:val="00DF46D1"/>
    <w:rsid w:val="00E6257B"/>
    <w:rsid w:val="00ED75C8"/>
    <w:rsid w:val="00F1048C"/>
    <w:rsid w:val="00F24799"/>
    <w:rsid w:val="00F24A8A"/>
    <w:rsid w:val="00F45B99"/>
    <w:rsid w:val="00F56F17"/>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2145CF"/>
    <w:pPr>
      <w:ind w:left="720"/>
      <w:contextualSpacing/>
    </w:pPr>
  </w:style>
  <w:style w:type="character" w:styleId="Hyperlink">
    <w:name w:val="Hyperlink"/>
    <w:basedOn w:val="DefaultParagraphFont"/>
    <w:uiPriority w:val="99"/>
    <w:unhideWhenUsed/>
    <w:rsid w:val="0034553F"/>
    <w:rPr>
      <w:color w:val="0563C1" w:themeColor="hyperlink"/>
      <w:u w:val="single"/>
    </w:rPr>
  </w:style>
  <w:style w:type="character" w:customStyle="1" w:styleId="UnresolvedMention">
    <w:name w:val="Unresolved Mention"/>
    <w:basedOn w:val="DefaultParagraphFont"/>
    <w:uiPriority w:val="99"/>
    <w:semiHidden/>
    <w:unhideWhenUsed/>
    <w:rsid w:val="0034553F"/>
    <w:rPr>
      <w:color w:val="808080"/>
      <w:shd w:val="clear" w:color="auto" w:fill="E6E6E6"/>
    </w:rPr>
  </w:style>
  <w:style w:type="character" w:styleId="FollowedHyperlink">
    <w:name w:val="FollowedHyperlink"/>
    <w:basedOn w:val="DefaultParagraphFont"/>
    <w:uiPriority w:val="99"/>
    <w:semiHidden/>
    <w:unhideWhenUsed/>
    <w:rsid w:val="00C22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Attachments/Bil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4" ma:contentTypeDescription="" ma:contentTypeScope="" ma:versionID="611e8783038ff432e71e85ce0284b610">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04b7baa65da656fd77f43bc0476fc01a"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63392a3f-c07a-4055-966b-98a0f1f4d76b">2018-01-30T01:33:34+00:00</Review_x0020_Date>
    <Document_x0020_type xmlns="63392a3f-c07a-4055-966b-98a0f1f4d76b" xsi:nil="true"/>
    <Business_x0020_Area xmlns="63392a3f-c07a-4055-966b-98a0f1f4d76b" xsi:nil="true"/>
    <Security xmlns="63392a3f-c07a-4055-966b-98a0f1f4d76b">Unclassified</Security>
    <_ip_UnifiedCompliancePolicyProperties xmlns="http://schemas.microsoft.com/sharepoint/v3" xsi:nil="true"/>
    <RoutingRuleDescription xmlns="http://schemas.microsoft.com/sharepoint/v3"/>
    <PublishingExpirationDate xmlns="http://schemas.microsoft.com/sharepoint/v3" xsi:nil="true"/>
    <Corporate_x0020_Function xmlns="63392a3f-c07a-4055-966b-98a0f1f4d76b" xsi:nil="true"/>
    <TaxKeywordTaxHTField xmlns="63392a3f-c07a-4055-966b-98a0f1f4d76b">
      <Terms xmlns="http://schemas.microsoft.com/office/infopath/2007/PartnerControls"/>
    </TaxKeywordTaxHTField>
    <ReportOwner xmlns="http://schemas.microsoft.com/sharepoint/v3">
      <UserInfo>
        <DisplayName/>
        <AccountId xsi:nil="true"/>
        <AccountType/>
      </UserInfo>
    </ReportOwner>
    <PublishingStartDate xmlns="http://schemas.microsoft.com/sharepoint/v3" xsi:nil="true"/>
    <TaxCatchAll xmlns="63392a3f-c07a-4055-966b-98a0f1f4d76b"/>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2B0DCAEB-C5E4-415A-88FD-F73353FE5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3773B-5702-411B-AC59-4149ECB7FB0B}">
  <ds:schemaRefs>
    <ds:schemaRef ds:uri="http://schemas.microsoft.com/office/2006/metadata/properties"/>
    <ds:schemaRef ds:uri="http://schemas.microsoft.com/office/infopath/2007/PartnerControls"/>
    <ds:schemaRef ds:uri="http://schemas.microsoft.com/sharepoint/v3"/>
    <ds:schemaRef ds:uri="63392a3f-c07a-4055-966b-98a0f1f4d76b"/>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199</Words>
  <Characters>1252</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CAB—Proactive Release Summary</vt:lpstr>
    </vt:vector>
  </TitlesOfParts>
  <Manager/>
  <Company/>
  <LinksUpToDate>false</LinksUpToDate>
  <CharactersWithSpaces>1450</CharactersWithSpaces>
  <SharedDoc>false</SharedDoc>
  <HyperlinkBase>https://www.cabinet.qld.gov.au/documents/2017/Aug/SecPay/</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2017-08-17T01:17:00Z</cp:lastPrinted>
  <dcterms:created xsi:type="dcterms:W3CDTF">2018-01-30T01:33:00Z</dcterms:created>
  <dcterms:modified xsi:type="dcterms:W3CDTF">2018-03-06T01:44:00Z</dcterms:modified>
  <cp:category>Building_and_Construction,Legislation,Justice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0x010100DAB41ABB243E4F43A692DF34EB89430500C1B7E51B82B2324A97F36CE94F7ADDBC</vt:lpwstr>
  </property>
  <property fmtid="{D5CDD505-2E9C-101B-9397-08002B2CF9AE}" pid="3" name="TaxKeyword">
    <vt:lpwstr>1394;#proactive release|998d06d2-17fe-4953-b3f4-b7bb426c592b;#478;#cabinet|3081b15d-12dd-410e-ae31-cdabd59c98d6</vt:lpwstr>
  </property>
</Properties>
</file>